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04" w:rsidRDefault="00910504" w:rsidP="0091050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04" w:rsidRDefault="00910504" w:rsidP="0091050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910504" w:rsidRPr="00B90E63" w:rsidRDefault="00910504" w:rsidP="0091050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BA7D12" w:rsidRPr="00BA7D12" w:rsidRDefault="00910504" w:rsidP="00BA7D12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</w:pPr>
      <w:r w:rsidRPr="00B90E63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ПРАВОВОЙ  ВЕСТНИК </w:t>
      </w:r>
      <w:r w:rsidR="00F04FAD"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  <w:t>(</w:t>
      </w:r>
      <w:r w:rsidR="00BA7D12"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  <w:t>1 декабря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35"/>
          <w:szCs w:val="35"/>
          <w:lang w:eastAsia="ru-RU"/>
        </w:rPr>
        <w:t xml:space="preserve"> 2020)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Bahnschrift" w:hAnsi="Bahnschrift"/>
          <w:b/>
          <w:i/>
          <w:color w:val="C00000"/>
          <w:sz w:val="44"/>
        </w:rPr>
      </w:pPr>
      <w:r w:rsidRPr="00BA7D12">
        <w:rPr>
          <w:rFonts w:ascii="Bahnschrift" w:hAnsi="Bahnschrift"/>
          <w:b/>
          <w:i/>
          <w:color w:val="C00000"/>
          <w:sz w:val="44"/>
        </w:rPr>
        <w:t>ГРАФИК  ОТПУСКОВ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ab/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 xml:space="preserve">График отпусков - это локальный нормативный акт, обязательный как для работодателя, так и для работников. 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 xml:space="preserve">График отпусков нужно принять </w:t>
      </w:r>
      <w:r w:rsidRPr="00F04FAD">
        <w:rPr>
          <w:rFonts w:ascii="Bahnschrift" w:hAnsi="Bahnschrift"/>
          <w:b/>
          <w:i/>
          <w:color w:val="C00000"/>
        </w:rPr>
        <w:t>не</w:t>
      </w:r>
      <w:r w:rsidRPr="00BA7D12">
        <w:rPr>
          <w:rFonts w:ascii="Bahnschrift" w:hAnsi="Bahnschrift"/>
          <w:b/>
          <w:i/>
          <w:color w:val="002060"/>
        </w:rPr>
        <w:t xml:space="preserve"> </w:t>
      </w:r>
      <w:r w:rsidRPr="00BA7D12">
        <w:rPr>
          <w:rFonts w:ascii="Bahnschrift" w:hAnsi="Bahnschrift"/>
          <w:b/>
          <w:i/>
          <w:color w:val="C00000"/>
        </w:rPr>
        <w:t xml:space="preserve">позднее, чем </w:t>
      </w:r>
      <w:hyperlink r:id="rId6" w:history="1">
        <w:r w:rsidRPr="00BA7D12">
          <w:rPr>
            <w:rFonts w:ascii="Bahnschrift" w:hAnsi="Bahnschrift"/>
            <w:b/>
            <w:i/>
            <w:color w:val="C00000"/>
          </w:rPr>
          <w:t>за 2 недели</w:t>
        </w:r>
      </w:hyperlink>
      <w:r w:rsidRPr="00BA7D12">
        <w:rPr>
          <w:rFonts w:ascii="Bahnschrift" w:hAnsi="Bahnschrift"/>
          <w:b/>
          <w:i/>
          <w:color w:val="C00000"/>
        </w:rPr>
        <w:t xml:space="preserve"> до нового года, т.е. в 2020 году до </w:t>
      </w:r>
      <w:r w:rsidRPr="00BA7D12">
        <w:rPr>
          <w:rFonts w:ascii="Bahnschrift" w:hAnsi="Bahnschrift"/>
          <w:b/>
          <w:bCs/>
          <w:i/>
          <w:color w:val="C00000"/>
        </w:rPr>
        <w:t>17 декабря</w:t>
      </w:r>
      <w:r w:rsidRPr="00BA7D12">
        <w:rPr>
          <w:rFonts w:ascii="Bahnschrift" w:hAnsi="Bahnschrift"/>
          <w:i/>
          <w:color w:val="C00000"/>
        </w:rPr>
        <w:t xml:space="preserve"> </w:t>
      </w:r>
      <w:r w:rsidRPr="00BA7D12">
        <w:rPr>
          <w:rFonts w:ascii="Bahnschrift" w:hAnsi="Bahnschrift"/>
          <w:i/>
          <w:color w:val="002060"/>
        </w:rPr>
        <w:t>включительно.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ab/>
        <w:t xml:space="preserve">График отпусков принимается в порядке, установленном </w:t>
      </w:r>
      <w:hyperlink r:id="rId7" w:history="1">
        <w:r w:rsidRPr="00BA7D12">
          <w:rPr>
            <w:rFonts w:ascii="Bahnschrift" w:hAnsi="Bahnschrift"/>
            <w:i/>
            <w:color w:val="002060"/>
          </w:rPr>
          <w:t>статьей 372</w:t>
        </w:r>
      </w:hyperlink>
      <w:r w:rsidRPr="00BA7D12">
        <w:rPr>
          <w:rFonts w:ascii="Bahnschrift" w:hAnsi="Bahnschrift"/>
          <w:i/>
          <w:color w:val="002060"/>
        </w:rPr>
        <w:t xml:space="preserve"> ТК РФ,</w:t>
      </w:r>
      <w:r>
        <w:rPr>
          <w:rFonts w:ascii="Bahnschrift" w:hAnsi="Bahnschrift"/>
          <w:i/>
          <w:color w:val="002060"/>
        </w:rPr>
        <w:t xml:space="preserve"> по согласованию с представительным органом работ</w:t>
      </w:r>
      <w:r w:rsidR="003E3FB5">
        <w:rPr>
          <w:rFonts w:ascii="Bahnschrift" w:hAnsi="Bahnschrift"/>
          <w:i/>
          <w:color w:val="002060"/>
        </w:rPr>
        <w:t>ников ( профсоюзная организация</w:t>
      </w:r>
      <w:r>
        <w:rPr>
          <w:rFonts w:ascii="Bahnschrift" w:hAnsi="Bahnschrift"/>
          <w:i/>
          <w:color w:val="002060"/>
        </w:rPr>
        <w:t>, профком) образовательной организации.</w:t>
      </w:r>
      <w:r w:rsidRPr="00BA7D12">
        <w:rPr>
          <w:rFonts w:ascii="Bahnschrift" w:hAnsi="Bahnschrift"/>
          <w:i/>
          <w:color w:val="002060"/>
        </w:rPr>
        <w:t xml:space="preserve"> Поэтому работодателю следует предусмотреть для этого дополнительное время: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 xml:space="preserve">- </w:t>
      </w:r>
      <w:hyperlink r:id="rId8" w:history="1">
        <w:r w:rsidRPr="00BA7D12">
          <w:rPr>
            <w:rFonts w:ascii="Bahnschrift" w:hAnsi="Bahnschrift"/>
            <w:i/>
            <w:color w:val="C00000"/>
          </w:rPr>
          <w:t>5 рабочих дней</w:t>
        </w:r>
      </w:hyperlink>
      <w:r w:rsidRPr="00BA7D12">
        <w:rPr>
          <w:rFonts w:ascii="Bahnschrift" w:hAnsi="Bahnschrift"/>
          <w:i/>
          <w:color w:val="002060"/>
        </w:rPr>
        <w:t xml:space="preserve"> на получение мотивированного ответа первичной профсоюзной организации;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 xml:space="preserve">- </w:t>
      </w:r>
      <w:hyperlink r:id="rId9" w:history="1">
        <w:r w:rsidRPr="00BA7D12">
          <w:rPr>
            <w:rFonts w:ascii="Bahnschrift" w:hAnsi="Bahnschrift"/>
            <w:i/>
            <w:color w:val="C00000"/>
          </w:rPr>
          <w:t>3 дня</w:t>
        </w:r>
      </w:hyperlink>
      <w:r w:rsidRPr="00BA7D12">
        <w:rPr>
          <w:rFonts w:ascii="Bahnschrift" w:hAnsi="Bahnschrift"/>
          <w:i/>
          <w:color w:val="002060"/>
        </w:rPr>
        <w:t xml:space="preserve"> на дополнительные консультации (если они понадобятся).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 xml:space="preserve">При составлении графиков отпусков должны учитываться требования законодательства о предоставлении отдельным категориям работников права на использование отпуска в удобное для них время: </w:t>
      </w:r>
    </w:p>
    <w:p w:rsidR="00BA7D12" w:rsidRPr="00BA7D12" w:rsidRDefault="00BA7D12" w:rsidP="00BA7D1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по желанию мужа ежегодный отпуск предоставляется в период нахождения его жены в отпуске по беременности и родам независимо от времени его непрерывной работы у данного работодателя </w:t>
      </w:r>
      <w:hyperlink r:id="rId10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(ст. 122 ТК РФ)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>;</w:t>
      </w:r>
    </w:p>
    <w:p w:rsidR="00BA7D12" w:rsidRPr="00BA7D12" w:rsidRDefault="00BA7D12" w:rsidP="00BA7D1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женщинам - перед отпуском по беременности и родам или непосредственно после него </w:t>
      </w:r>
      <w:hyperlink r:id="rId11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(ст. 122 ТК РФ)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>;</w:t>
      </w:r>
    </w:p>
    <w:p w:rsidR="00BA7D12" w:rsidRPr="00BA7D12" w:rsidRDefault="00BA7D12" w:rsidP="00BA7D1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работникам в возрасте до восемнадцати лет </w:t>
      </w:r>
      <w:hyperlink r:id="rId12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(ст. 122 ТК РФ)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>;</w:t>
      </w:r>
    </w:p>
    <w:p w:rsidR="00BA7D12" w:rsidRPr="00BA7D12" w:rsidRDefault="00BA7D12" w:rsidP="00BA7D1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работникам, усыновившим ребенка (детей) в возрасте до трех месяцев </w:t>
      </w:r>
      <w:hyperlink r:id="rId13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(ст. 122 ТК РФ)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>;</w:t>
      </w:r>
    </w:p>
    <w:p w:rsidR="00BA7D12" w:rsidRPr="00BA7D12" w:rsidRDefault="00BA7D12" w:rsidP="00BA7D1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>родителям (опекуны, попечители, приемные родители), воспитывающие ребенка-инвалида в возрасте до восемнадцати лет (</w:t>
      </w:r>
      <w:hyperlink r:id="rId14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ст. 262.1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 ТК РФ);</w:t>
      </w:r>
    </w:p>
    <w:p w:rsidR="00BA7D12" w:rsidRPr="00BA7D12" w:rsidRDefault="00BA7D12" w:rsidP="00BA7D1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ветеранам боевых действий </w:t>
      </w:r>
      <w:hyperlink r:id="rId15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(ст. 16 ТК РФ)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 и инвалиды войны (на основании </w:t>
      </w:r>
      <w:hyperlink r:id="rId16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ст. 14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 Федерального закона от 12 января 1995 г. № 5 "О ветеранах"); </w:t>
      </w:r>
    </w:p>
    <w:p w:rsidR="00BA7D12" w:rsidRPr="00BA7D12" w:rsidRDefault="00BA7D12" w:rsidP="00BA7D12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некоторым категориям граждан, подвергшихся воздействию радиации (на основании Федерального закона "О социальной защите граждан, подвергшихся воздействию радиации вследствие катастрофы на Чернобыльской АЭС"); </w:t>
      </w:r>
    </w:p>
    <w:p w:rsidR="00BA7D12" w:rsidRPr="00BA7D12" w:rsidRDefault="00BA7D12" w:rsidP="00BA7D12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Bahnschrift" w:hAnsi="Bahnschrift"/>
          <w:i/>
          <w:color w:val="002060"/>
          <w:sz w:val="22"/>
          <w:szCs w:val="22"/>
        </w:rPr>
      </w:pPr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лицам, награжденным нагрудным знаком "Почетный донор России" (на основании </w:t>
      </w:r>
      <w:hyperlink r:id="rId17" w:history="1">
        <w:r w:rsidRPr="00BA7D12">
          <w:rPr>
            <w:rFonts w:ascii="Bahnschrift" w:hAnsi="Bahnschrift"/>
            <w:i/>
            <w:color w:val="002060"/>
            <w:sz w:val="22"/>
            <w:szCs w:val="22"/>
          </w:rPr>
          <w:t>ст. 23</w:t>
        </w:r>
      </w:hyperlink>
      <w:r w:rsidRPr="00BA7D12">
        <w:rPr>
          <w:rFonts w:ascii="Bahnschrift" w:hAnsi="Bahnschrift"/>
          <w:i/>
          <w:color w:val="002060"/>
          <w:sz w:val="22"/>
          <w:szCs w:val="22"/>
        </w:rPr>
        <w:t xml:space="preserve"> Закона РФ от 20 июля 2012 г. № 125-ФЗ  "О донорстве крови и ее компонентов"). 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ab/>
        <w:t>Если работник по какой-либо причине не может использовать отпуск в дни, определенные графиком, он вправе обратиться к работода</w:t>
      </w:r>
      <w:r>
        <w:rPr>
          <w:rFonts w:ascii="Bahnschrift" w:hAnsi="Bahnschrift"/>
          <w:i/>
          <w:color w:val="002060"/>
        </w:rPr>
        <w:t>т</w:t>
      </w:r>
      <w:r w:rsidR="00EA6325">
        <w:rPr>
          <w:rFonts w:ascii="Bahnschrift" w:hAnsi="Bahnschrift"/>
          <w:i/>
          <w:color w:val="002060"/>
        </w:rPr>
        <w:t>елю с просьбой о его переносе (</w:t>
      </w:r>
      <w:r>
        <w:rPr>
          <w:rFonts w:ascii="Bahnschrift" w:hAnsi="Bahnschrift"/>
          <w:i/>
          <w:color w:val="002060"/>
        </w:rPr>
        <w:t>письменно и до 17 декабря).</w:t>
      </w:r>
    </w:p>
    <w:p w:rsidR="00BA7D12" w:rsidRPr="00BA7D12" w:rsidRDefault="00BA7D12" w:rsidP="00BA7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" w:hAnsi="Bahnschrift"/>
          <w:i/>
          <w:color w:val="002060"/>
        </w:rPr>
      </w:pPr>
      <w:r w:rsidRPr="00BA7D12">
        <w:rPr>
          <w:rFonts w:ascii="Bahnschrift" w:hAnsi="Bahnschrift"/>
          <w:i/>
          <w:color w:val="002060"/>
        </w:rPr>
        <w:tab/>
        <w:t xml:space="preserve">Кроме того, несмотря на то, что отпуск предоставляется обычно целиком, </w:t>
      </w:r>
      <w:hyperlink r:id="rId18" w:history="1">
        <w:r w:rsidRPr="00BA7D12">
          <w:rPr>
            <w:rFonts w:ascii="Bahnschrift" w:hAnsi="Bahnschrift"/>
            <w:i/>
            <w:color w:val="002060"/>
          </w:rPr>
          <w:t>ст. 125</w:t>
        </w:r>
      </w:hyperlink>
      <w:r w:rsidRPr="00BA7D12">
        <w:rPr>
          <w:rFonts w:ascii="Bahnschrift" w:hAnsi="Bahnschrift"/>
          <w:i/>
          <w:color w:val="002060"/>
        </w:rPr>
        <w:t xml:space="preserve"> ТК РФ устанавливает, что по соглашению между работником и работодателем ежегодный оплачиваемый отпуск может быть разделен на части, но при этом неделимая часть отпуска должна составлять не менее 14 календарных дней.</w:t>
      </w:r>
    </w:p>
    <w:sectPr w:rsidR="00BA7D12" w:rsidRPr="00BA7D12" w:rsidSect="003E3F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7363"/>
    <w:multiLevelType w:val="hybridMultilevel"/>
    <w:tmpl w:val="E37A6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D1291"/>
    <w:multiLevelType w:val="hybridMultilevel"/>
    <w:tmpl w:val="F71EB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04"/>
    <w:rsid w:val="00024B5A"/>
    <w:rsid w:val="00136B4C"/>
    <w:rsid w:val="00192A69"/>
    <w:rsid w:val="003526B5"/>
    <w:rsid w:val="003C3135"/>
    <w:rsid w:val="003E3FB5"/>
    <w:rsid w:val="004102BC"/>
    <w:rsid w:val="00440E20"/>
    <w:rsid w:val="00464A4C"/>
    <w:rsid w:val="00516E2F"/>
    <w:rsid w:val="0052674B"/>
    <w:rsid w:val="005B5FED"/>
    <w:rsid w:val="00624735"/>
    <w:rsid w:val="006759FA"/>
    <w:rsid w:val="00765A1F"/>
    <w:rsid w:val="00910504"/>
    <w:rsid w:val="009E51F0"/>
    <w:rsid w:val="00A83EC0"/>
    <w:rsid w:val="00AD2360"/>
    <w:rsid w:val="00B85B7D"/>
    <w:rsid w:val="00BA7D12"/>
    <w:rsid w:val="00C0535F"/>
    <w:rsid w:val="00C1177F"/>
    <w:rsid w:val="00CF7C6D"/>
    <w:rsid w:val="00DD31A5"/>
    <w:rsid w:val="00E55B52"/>
    <w:rsid w:val="00EA6325"/>
    <w:rsid w:val="00F04FAD"/>
    <w:rsid w:val="00F941F8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D12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AE201C644E0B84A626CC4B7682A5781DD9380EDD5B24D760E3DE4CB74A9B5756681C68D7F9575EEEFFFDE89276D361C84BD9B27E80C5M2G" TargetMode="External"/><Relationship Id="rId13" Type="http://schemas.openxmlformats.org/officeDocument/2006/relationships/hyperlink" Target="consultantplus://offline/ref=7245BA2D8F8301FC38EC4684DB59D644518EDDDCB17E4BC31D98B1F4AF61E2EC06FAED6772FB97B3550109F6FAE32AC589DA43A568612A30aFHBG" TargetMode="External"/><Relationship Id="rId18" Type="http://schemas.openxmlformats.org/officeDocument/2006/relationships/hyperlink" Target="consultantplus://offline/ref=7245BA2D8F8301FC38EC4684DB59D644518FD9DCB6704BC31D98B1F4AF61E2EC06FAED6772FB9BB6500109F6FAE32AC589DA43A568612A30aFH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98614186144F0292FF474A64602B96382F0C6CFEAE2EA486102429E3979C9A9CD815FA276A9EF3644D5440190F287CA582909B550516o7G" TargetMode="External"/><Relationship Id="rId12" Type="http://schemas.openxmlformats.org/officeDocument/2006/relationships/hyperlink" Target="consultantplus://offline/ref=7245BA2D8F8301FC38EC4684DB59D644518EDDDCB17E4BC31D98B1F4AF61E2EC06FAED6772FB97B3550109F6FAE32AC589DA43A568612A30aFHBG" TargetMode="External"/><Relationship Id="rId17" Type="http://schemas.openxmlformats.org/officeDocument/2006/relationships/hyperlink" Target="consultantplus://offline/ref=7245BA2D8F8301FC38EC4684DB59D644518EDDDCB1714BC31D98B1F4AF61E2EC06FAED6772FB92B45D0109F6FAE32AC589DA43A568612A30aFH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45BA2D8F8301FC38EC4684DB59D644518EDDDCB17E4BC31D98B1F4AF61E2EC06FAED6772FB90BA5D0109F6FAE32AC589DA43A568612A30aFHB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AE201C644E0B84A626CC4B7682A5781DD9380EDD5B24D760E3DE4CB74A9B5756681C6FD7F45801EBEAECB09C75CD7EC854C5B07CC8M2G" TargetMode="External"/><Relationship Id="rId11" Type="http://schemas.openxmlformats.org/officeDocument/2006/relationships/hyperlink" Target="consultantplus://offline/ref=7245BA2D8F8301FC38EC4684DB59D644518EDDDCB17E4BC31D98B1F4AF61E2EC06FAED6772FB97B3550109F6FAE32AC589DA43A568612A30aFHB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245BA2D8F8301FC38EC4684DB59D644518EDDDCB17E4BC31D98B1F4AF61E2EC06FAED6772FB97B3550109F6FAE32AC589DA43A568612A30aFHBG" TargetMode="External"/><Relationship Id="rId10" Type="http://schemas.openxmlformats.org/officeDocument/2006/relationships/hyperlink" Target="consultantplus://offline/ref=7245BA2D8F8301FC38EC4684DB59D644518EDDDCB17E4BC31D98B1F4AF61E2EC06FAED6772FB97B3550109F6FAE32AC589DA43A568612A30aFHB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AE201C644E0B84A626CC4B7682A5781DD9380EDD5B24D760E3DE4CB74A9B5756681C68D7F9565EEEFFFDE89276D361C84BD9B27E80C5M2G" TargetMode="External"/><Relationship Id="rId14" Type="http://schemas.openxmlformats.org/officeDocument/2006/relationships/hyperlink" Target="consultantplus://offline/ref=7245BA2D8F8301FC38EC4684DB59D644518FD9DCB6704BC31D98B1F4AF61E2EC06FAED6473F297B8005B19F2B3B527D888C55CA67661a2H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6</cp:revision>
  <cp:lastPrinted>2020-12-02T03:20:00Z</cp:lastPrinted>
  <dcterms:created xsi:type="dcterms:W3CDTF">2020-12-02T03:22:00Z</dcterms:created>
  <dcterms:modified xsi:type="dcterms:W3CDTF">2020-12-02T03:53:00Z</dcterms:modified>
</cp:coreProperties>
</file>